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1133926046924,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3917519113)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«РегионСтройком»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1116193006819,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6166081069)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С-061-6166081069-16042012-898/1,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«РегионСтройком»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1116193006819,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6166081069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«ГидроСибАльянс»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1115476115083,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5406684400)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С-054-5406684400-25042012-902/1,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«ГидроСибАльянс»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1115476115083,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5406684400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«РемСтройМонтаж»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1085402001783,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5402490971)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С-054-5402490971-26052010-628/3,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«РемСтройМонтаж»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1085402001783,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5402490971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«ОБРАКС СБМ Групп»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5077746796860,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7718645255)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С-077-7718645255-06082010-683/2,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«ОБРАКС СБМ Групп»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5077746796860,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7718645255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«Высококачественные строительные технологии»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1107847181397,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7805523077)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С-098-7805523077-27082010-709/3,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«Высококачественные строительные технологии»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1107847181397,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7805523077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«АртЛэнд»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1076164012792,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6164269805)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С-061-6164269805-18082010-700/3,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«АртЛэнд»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1076164012792,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6164269805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«БАЗИС»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1082224003487,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2224121823)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С-022-2224121823-11102010-736/5,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«БАЗИС»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1082224003487,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2224121823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«СтройЭлектроСервис»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1082224011320,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2224128272)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С-022-2224128272-25082010-708/4,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«СтройЭлектроСервис»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1082224011320,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2224128272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