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СБ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3904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2527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460250630006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50107812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24 от 08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460250630006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50107812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24 от 08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Майоровым Алексеем Валерье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46025063000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50107812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 «Теплоцентра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0016281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1300679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13 от 08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 «Теплоцентра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0016281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1300679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13 от 08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 «Теплоцентра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16281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3006792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икон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47200087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20025214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27 от 09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икон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47200087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2002521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27 от 09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ико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47200087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20025214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о-монтажная компания «К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222400025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3828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24 от 08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о-монтажная компания «К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222400025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3828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24 от 08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о-монтажная компания «К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40002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288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Евроинве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9005255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218996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52 от 1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Евроинве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9005255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218996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52 от 1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Евроинв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9005255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2189963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ство и Маркетинг - 2000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720084703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22402160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26 от 09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ство и Маркетинг - 2000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720084703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22402160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26 от 09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ство и Маркетинг - 2000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2008470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24021602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РХИТЕ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910200887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910300079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48 от 1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РХИТЕ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910200887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910300079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48 от 1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РХИТЕ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91020088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9103000792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Инжен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61960020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5558937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53 от 1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Инжен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61960020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555893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53 от 1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Инжен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61960020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558937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-Полимер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00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280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47 от 1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-Полимер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002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280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47 от 1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г-Полимер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00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802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Универсал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50191315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538069405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46 от 1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Универсал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50191315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53806940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46 от 1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Универсал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501913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538069405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6400515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29290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54 от 1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6400515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29290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54 от 12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Центр качества строительст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640051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9290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