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декабря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Индивидуального предпринимателя Макарову Юлию Викторовну</w:t>
      </w:r>
      <w:r w:rsidR="00B9210B" w:rsidRPr="00241327">
        <w:rPr>
          <w:sz w:val="22"/>
          <w:szCs w:val="22"/>
          <w:lang w:val="en-US"/>
        </w:rPr>
        <w:t xml:space="preserve"> (ОГРНИП 317784700294946,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225776862285)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Индивидуального предпринимателя Макаровой Юлии Викторовны</w:t>
      </w:r>
      <w:r w:rsidRPr="00496A50">
        <w:rPr>
          <w:sz w:val="22"/>
          <w:szCs w:val="22"/>
        </w:rPr>
        <w:t xml:space="preserve"> (ОГРНИП 317784700294946,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225776862285)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«Глобус»</w:t>
      </w:r>
      <w:r w:rsidR="0098382E" w:rsidRPr="00A319DF">
        <w:rPr>
          <w:sz w:val="22"/>
          <w:szCs w:val="22"/>
          <w:lang w:val="en-US"/>
        </w:rPr>
        <w:t xml:space="preserve"> (ОГРН 1113435005870,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3435106738)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18.12.2020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декабря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