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1097847307073,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7814450749)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«ЮгКаркасПроект»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1026103275197,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6165076299)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7810087651)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1097847222142,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7801500223)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1083455000970,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3403024313)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Специализированное проектное бюро «Сфера»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1073443005020,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3443079196)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«ВНЕШЛЕНСТРОЙСЕРВИС»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1037843024427,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7803019700)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«Ундина»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1083906004181,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3907062340)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«КУБ-систем 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1047855128694,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7816357400)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«БАЛТИКОН»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1037843077711,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7825503760)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«СПК Аква-Вива»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1077847232605,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7804359963)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Федерального государственного казенного учреждения «29 конструкторско-технологический центр бронетанкового вооружения и техники и автомобильной техники» Министерства обороны Российской Федерации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1027804847190,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7810248299)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«Компания «ЭРФИКС»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1027810260928,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7826675320)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«АКОВА»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100119836,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9909182403)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Муниципального бюджетного учреждения «Центр капитального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1053905500703,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3911002657)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«Конструктив»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5401309187)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«Инжстром»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1023403434900,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3444035459)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«Рэйс-Коммуникейшн»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1065047070065,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5047080378)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