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 ПЕТЕРБУРГ»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1107847023778,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7805511297)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«ЕвроКомфорт»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1073905003259,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3905080819)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«Респект»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1082302002771,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2302059572)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«ЭнергоСтройАктив»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1089847367664,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7816450737)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«Востокспецавтоматика»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1025401018290,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5402141723)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«Телекомстрой»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1082223003103,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2223968247)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«СибирьЭнергоРесурс»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1072224020670,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2224117993)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«Строй-Перспектива»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1089847327261,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7810527302)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«ВолгоПромМонтаж»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1073444011200,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3444151800)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1092223005819,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2223971507)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«ПГС-Баланс»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1076150006767,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6150051566)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1076168003900,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6168017823)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