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Т-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5010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31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Т-Проект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63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1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эйс-Коммуникейш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047070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080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т-С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6007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60525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УЛЬС-ЭНЕРГЕТИЧЕСКИ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0240000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40931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Копычину-Лоренса Сергея Максим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53906115000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39304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