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Федерального государственного казенного учреждения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«Ремстройпроект+»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1103443000407,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3443096191)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П-034-3443096191-17092010-271/3,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«Ремстройпроект+»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1103443000407,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3443096191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Муниципальным бюджетным учреждением «Центр капитального строительства»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1053905500703,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3911002657)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П-039-3911002657-18022010-123/5,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бюджетное учреждение «Центр капитального строительства»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1053905500703,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3911002657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«Мой город»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1067203329863,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7204101345)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П-072-7204101345-09022011-306/4,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