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1027810339700,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7809006217)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«Высококачественные строительные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1107847181397,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7805523077)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«ГОРЫ»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1097847138894,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7807343312)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«ЕвроСтройМонтаж»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1083443006789,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3443088592)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«ГРАНД-СТРОЙ»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1082223003598,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2223968744)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Строительная Компания  «Гефест»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1102225004584,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2225109226)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17.08.2011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«Северные высоты»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1057813216889,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7802341833)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23.08.2011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24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