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ммун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3020032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532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400667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72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Электр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13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82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29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584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4788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виаСтройСвяз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618300080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6267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04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овые Строительные Технологи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784725170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72157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9.04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К «Анко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262800001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62805443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04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